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9627" w14:textId="348B1177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 xml:space="preserve">ПАСПОРТ УСЛУГИ (ПРОЦЕССА) </w:t>
      </w:r>
      <w:r w:rsidR="00C84336">
        <w:rPr>
          <w:b/>
          <w:bCs/>
        </w:rPr>
        <w:t>ООО «</w:t>
      </w:r>
      <w:r w:rsidR="00C84336" w:rsidRPr="00C84336">
        <w:rPr>
          <w:b/>
          <w:bCs/>
          <w:sz w:val="28"/>
          <w:szCs w:val="28"/>
        </w:rPr>
        <w:t>Архэнергия»</w:t>
      </w:r>
    </w:p>
    <w:p w14:paraId="045B0321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3293BBDE" w14:textId="77777777" w:rsidR="001429EA" w:rsidRDefault="001429EA" w:rsidP="0062083F">
      <w:pPr>
        <w:autoSpaceDE w:val="0"/>
        <w:autoSpaceDN w:val="0"/>
        <w:adjustRightInd w:val="0"/>
        <w:jc w:val="center"/>
      </w:pPr>
      <w:bookmarkStart w:id="8" w:name="_Toc378081940"/>
      <w:bookmarkStart w:id="9" w:name="_Toc378082169"/>
      <w:bookmarkStart w:id="10" w:name="_Toc383528937"/>
      <w:bookmarkStart w:id="11" w:name="_Toc383529235"/>
      <w:bookmarkStart w:id="12" w:name="_Toc544481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2083F">
        <w:rPr>
          <w:b/>
        </w:rPr>
        <w:t>ТЕХНОЛОГИЧЕСКОЕ ПРИСОЕДИНЕНИЕ К ЭЛЕКТРИЧЕСКИМ СЕТЯМ СЕТЕВОЙ ОРГАНИЗАЦИИ</w:t>
      </w:r>
    </w:p>
    <w:p w14:paraId="689AF3EF" w14:textId="77777777" w:rsidR="00F222A1" w:rsidRPr="0062083F" w:rsidRDefault="000C009A" w:rsidP="0062083F">
      <w:pPr>
        <w:autoSpaceDE w:val="0"/>
        <w:autoSpaceDN w:val="0"/>
        <w:adjustRightInd w:val="0"/>
        <w:jc w:val="center"/>
        <w:rPr>
          <w:highlight w:val="yellow"/>
        </w:rPr>
      </w:pPr>
      <w:r>
        <w:rPr>
          <w:sz w:val="26"/>
          <w:szCs w:val="26"/>
        </w:rPr>
        <w:t xml:space="preserve"> </w:t>
      </w:r>
      <w:r w:rsidR="00F222A1" w:rsidRPr="00CF4E08">
        <w:rPr>
          <w:sz w:val="26"/>
          <w:szCs w:val="26"/>
        </w:rPr>
        <w:t>энергопринимающих устройств</w:t>
      </w:r>
      <w:r>
        <w:rPr>
          <w:sz w:val="26"/>
          <w:szCs w:val="26"/>
        </w:rPr>
        <w:t xml:space="preserve"> физического лица с </w:t>
      </w:r>
      <w:r w:rsidR="00F222A1" w:rsidRPr="00CF4E08">
        <w:rPr>
          <w:sz w:val="26"/>
          <w:szCs w:val="26"/>
        </w:rPr>
        <w:t>максимальн</w:t>
      </w:r>
      <w:r>
        <w:rPr>
          <w:sz w:val="26"/>
          <w:szCs w:val="26"/>
        </w:rPr>
        <w:t>ой</w:t>
      </w:r>
      <w:r w:rsidR="00F222A1" w:rsidRPr="00CF4E08">
        <w:rPr>
          <w:sz w:val="26"/>
          <w:szCs w:val="26"/>
        </w:rPr>
        <w:t xml:space="preserve"> мощность</w:t>
      </w:r>
      <w:r>
        <w:rPr>
          <w:sz w:val="26"/>
          <w:szCs w:val="26"/>
        </w:rPr>
        <w:t>ю</w:t>
      </w:r>
      <w:r w:rsidR="00F222A1" w:rsidRPr="00CF4E08">
        <w:rPr>
          <w:sz w:val="26"/>
          <w:szCs w:val="26"/>
        </w:rPr>
        <w:t xml:space="preserve">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bookmarkEnd w:id="8"/>
      <w:bookmarkEnd w:id="9"/>
      <w:bookmarkEnd w:id="10"/>
      <w:bookmarkEnd w:id="11"/>
      <w:bookmarkEnd w:id="12"/>
    </w:p>
    <w:p w14:paraId="1B8D122F" w14:textId="77777777" w:rsidR="0062083F" w:rsidRDefault="0062083F" w:rsidP="0062083F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</w:rPr>
        <w:t>Технологическое присоединение принадлежащих физическому лицу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0DFF604E" w14:textId="77777777" w:rsidR="0062083F" w:rsidRDefault="0062083F" w:rsidP="0062083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191E51E7" w14:textId="77777777" w:rsidR="0062083F" w:rsidRDefault="0062083F" w:rsidP="0062083F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Круг заявителей:</w:t>
      </w:r>
      <w:r>
        <w:rPr>
          <w:b/>
          <w:color w:val="8496B0"/>
          <w:sz w:val="26"/>
          <w:szCs w:val="26"/>
        </w:rPr>
        <w:t xml:space="preserve"> </w:t>
      </w:r>
      <w:r>
        <w:rPr>
          <w:sz w:val="26"/>
          <w:szCs w:val="26"/>
        </w:rPr>
        <w:t>физическое лицо в целях технологического присоединения (далее - заявитель)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3B38BBEC" w14:textId="77777777" w:rsidR="0062083F" w:rsidRDefault="0062083F" w:rsidP="006208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>
        <w:rPr>
          <w:sz w:val="26"/>
          <w:szCs w:val="26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0A8E1EA2" w14:textId="77777777" w:rsidR="0062083F" w:rsidRDefault="0062083F" w:rsidP="006208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</w:t>
      </w:r>
      <w:r>
        <w:rPr>
          <w:sz w:val="26"/>
          <w:szCs w:val="26"/>
        </w:rPr>
        <w:br/>
        <w:t>3 лет.</w:t>
      </w:r>
    </w:p>
    <w:p w14:paraId="0939F4C9" w14:textId="77777777" w:rsidR="0062083F" w:rsidRDefault="0062083F" w:rsidP="006208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размере платы за технологическое присоединение, указанные в абзаце первом настоящего пункта, не могут быть применены в следующих случаях:</w:t>
      </w:r>
    </w:p>
    <w:p w14:paraId="0F7084E3" w14:textId="77777777" w:rsidR="0062083F" w:rsidRDefault="0062083F" w:rsidP="006208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6AA69EFA" w14:textId="77777777" w:rsidR="0062083F" w:rsidRDefault="0062083F" w:rsidP="006208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14:paraId="152DC499" w14:textId="77777777" w:rsidR="0062083F" w:rsidRDefault="0062083F" w:rsidP="0062083F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 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14:paraId="17DBEB04" w14:textId="77777777" w:rsidR="0062083F" w:rsidRDefault="0062083F" w:rsidP="0062083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Условия оказания услуги (процесса):</w:t>
      </w:r>
      <w:r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6AD3AC3A" w14:textId="77777777" w:rsidR="0062083F" w:rsidRDefault="0062083F" w:rsidP="0062083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Результат оказания услуги (процесса):</w:t>
      </w:r>
      <w:r>
        <w:rPr>
          <w:sz w:val="26"/>
          <w:szCs w:val="26"/>
        </w:rPr>
        <w:t xml:space="preserve"> технологическое присоединения энергопринимающих устройств Заявителя.</w:t>
      </w:r>
    </w:p>
    <w:p w14:paraId="55831A9D" w14:textId="77777777" w:rsidR="0062083F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21A0E875" w14:textId="77777777" w:rsidR="0062083F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>
        <w:rPr>
          <w:rFonts w:ascii="Times New Roman" w:hAnsi="Times New Roman" w:cs="Times New Roman"/>
          <w:b/>
          <w:sz w:val="26"/>
          <w:szCs w:val="26"/>
        </w:rPr>
        <w:t>4 месяца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50287CD" w14:textId="77777777" w:rsidR="0062083F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3D209F43" w14:textId="77777777" w:rsidR="0062083F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месяцев</w:t>
      </w:r>
      <w:r>
        <w:rPr>
          <w:rFonts w:ascii="Times New Roman" w:hAnsi="Times New Roman" w:cs="Times New Roman"/>
          <w:sz w:val="26"/>
          <w:szCs w:val="26"/>
        </w:rPr>
        <w:t xml:space="preserve"> -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14:paraId="278A9460" w14:textId="77777777" w:rsidR="0062083F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</w:t>
      </w:r>
      <w:r>
        <w:rPr>
          <w:rFonts w:ascii="Times New Roman" w:hAnsi="Times New Roman" w:cs="Times New Roman"/>
          <w:sz w:val="26"/>
          <w:szCs w:val="26"/>
        </w:rPr>
        <w:t xml:space="preserve"> – при несоблюдении вышеуказанных условий.</w:t>
      </w:r>
    </w:p>
    <w:p w14:paraId="0A6AE1D9" w14:textId="77777777" w:rsidR="0062083F" w:rsidRDefault="0062083F" w:rsidP="0062083F">
      <w:pPr>
        <w:spacing w:before="120"/>
        <w:ind w:firstLine="567"/>
        <w:jc w:val="both"/>
        <w:outlineLvl w:val="0"/>
        <w:rPr>
          <w:b/>
        </w:rPr>
      </w:pPr>
      <w:r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948"/>
        <w:gridCol w:w="2104"/>
        <w:gridCol w:w="3003"/>
        <w:gridCol w:w="2299"/>
        <w:gridCol w:w="2289"/>
        <w:gridCol w:w="2409"/>
      </w:tblGrid>
      <w:tr w:rsidR="0062083F" w14:paraId="7A5A1B02" w14:textId="77777777" w:rsidTr="0062083F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36F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C9B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3A2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Условие этапа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E914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550C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6A5A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2FE" w14:textId="77777777" w:rsidR="0062083F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Ссылка на нормативно правовой акт</w:t>
            </w:r>
          </w:p>
        </w:tc>
      </w:tr>
      <w:tr w:rsidR="0062083F" w14:paraId="4104B3D4" w14:textId="77777777" w:rsidTr="0062083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987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4F5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Подача заявки на технологическое присоединение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43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A8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Заявитель подает заявку на технологическое присоединение;</w:t>
            </w:r>
          </w:p>
          <w:p w14:paraId="5D9AAC4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2E9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обращение заявителя с заявкой в офис обслуживания потребителей,</w:t>
            </w:r>
          </w:p>
          <w:p w14:paraId="026F37D3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обращение с заявкой заказным письмом с уведомлением,</w:t>
            </w:r>
          </w:p>
          <w:p w14:paraId="7FBD4F73" w14:textId="5C138473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по электронной форме на сайте </w:t>
            </w:r>
            <w:r w:rsidR="00C84336">
              <w:rPr>
                <w:sz w:val="22"/>
                <w:szCs w:val="22"/>
                <w:lang w:val="ru-RU" w:eastAsia="en-US"/>
              </w:rPr>
              <w:t>ООО «Архэнергия»</w:t>
            </w:r>
            <w:r>
              <w:rPr>
                <w:sz w:val="22"/>
                <w:szCs w:val="22"/>
                <w:lang w:eastAsia="en-US"/>
              </w:rPr>
              <w:t xml:space="preserve"> через Личный кабинет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8A8" w14:textId="77777777" w:rsidR="0062083F" w:rsidRDefault="00620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6265" w14:textId="77777777" w:rsidR="0062083F" w:rsidRDefault="006208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  8-10, 14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Style w:val="a6"/>
                <w:sz w:val="22"/>
                <w:szCs w:val="22"/>
                <w:lang w:eastAsia="en-US"/>
              </w:rPr>
              <w:footnoteReference w:id="1"/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2083F" w14:paraId="382D2EDF" w14:textId="77777777" w:rsidTr="0062083F">
        <w:trPr>
          <w:trHeight w:val="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EA9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0A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F7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D2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</w:t>
            </w:r>
            <w:r>
              <w:rPr>
                <w:sz w:val="22"/>
                <w:szCs w:val="22"/>
                <w:lang w:eastAsia="en-US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3D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E23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рабочих дня после получения заявки </w:t>
            </w:r>
          </w:p>
          <w:p w14:paraId="4E20CA8B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заявителя в течение 3 рабочих дней со дня принятия решения об аннулировании заявки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0A9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9A8DAA3" w14:textId="77777777" w:rsidTr="0062083F"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04D1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9DA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78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1CD3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2.1</w:t>
            </w:r>
            <w:r>
              <w:rPr>
                <w:sz w:val="22"/>
                <w:szCs w:val="22"/>
                <w:lang w:eastAsia="en-US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4C0" w14:textId="4B20B405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Электронная форма проекта договора, подписанного со стороны сетевой организации </w:t>
            </w:r>
            <w:proofErr w:type="gramStart"/>
            <w:r>
              <w:rPr>
                <w:sz w:val="22"/>
                <w:szCs w:val="22"/>
                <w:lang w:eastAsia="en-US"/>
              </w:rPr>
              <w:t>усиленной квалифицированной электронной подписью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размещается на сайте </w:t>
            </w:r>
            <w:r w:rsidR="00C84336">
              <w:rPr>
                <w:sz w:val="22"/>
                <w:szCs w:val="22"/>
                <w:lang w:eastAsia="en-US"/>
              </w:rPr>
              <w:t xml:space="preserve">ООО «Архэнергия» </w:t>
            </w:r>
            <w:r>
              <w:rPr>
                <w:sz w:val="22"/>
                <w:szCs w:val="22"/>
                <w:lang w:eastAsia="en-US"/>
              </w:rPr>
              <w:t>через Личный кабинет.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0B61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дней со дня  получения заявки; </w:t>
            </w:r>
          </w:p>
          <w:p w14:paraId="67397C13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  отсутствия сведений  (документов) </w:t>
            </w:r>
            <w:r>
              <w:rPr>
                <w:sz w:val="22"/>
                <w:szCs w:val="22"/>
                <w:lang w:val="ru-RU"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 xml:space="preserve"> дней с даты  получения недостающих сведений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DE1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57EC52A" w14:textId="77777777" w:rsidTr="0062083F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7C59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A12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2234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118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2.2</w:t>
            </w:r>
            <w:r>
              <w:rPr>
                <w:sz w:val="22"/>
                <w:szCs w:val="22"/>
                <w:lang w:eastAsia="en-US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9D4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предоставление одного экземпляра договора, подписанного в бумажной форме с приложением к нему документов, подтверждающих полномочия лица, подписавшего такой договор, в адрес сетевой организации (в том числе в центр обслуживания потребителей);</w:t>
            </w:r>
          </w:p>
          <w:p w14:paraId="55602EFF" w14:textId="031AE0A3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размещение подписанного простой электронной подписью договора на сайте </w:t>
            </w:r>
            <w:r w:rsidR="00C84336">
              <w:rPr>
                <w:sz w:val="22"/>
                <w:szCs w:val="22"/>
                <w:lang w:eastAsia="en-US"/>
              </w:rPr>
              <w:t xml:space="preserve">ООО «Архэнергия» </w:t>
            </w:r>
            <w:r>
              <w:rPr>
                <w:sz w:val="22"/>
                <w:szCs w:val="22"/>
                <w:lang w:eastAsia="en-US"/>
              </w:rPr>
              <w:t>через Личный кабинет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C3ED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val="ru-RU" w:eastAsia="en-US"/>
              </w:rPr>
              <w:t xml:space="preserve">рабочих </w:t>
            </w:r>
            <w:r>
              <w:rPr>
                <w:sz w:val="22"/>
                <w:szCs w:val="22"/>
                <w:lang w:eastAsia="en-US"/>
              </w:rPr>
              <w:t>дней со  дня получения заявителем проекта договора.</w:t>
            </w:r>
          </w:p>
          <w:p w14:paraId="6D244C63" w14:textId="262BED8A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случае не</w:t>
            </w:r>
            <w:r w:rsidR="000F3CD2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val="ru-RU" w:eastAsia="en-US"/>
              </w:rPr>
              <w:t xml:space="preserve">рабочих </w:t>
            </w:r>
            <w:r>
              <w:rPr>
                <w:sz w:val="22"/>
                <w:szCs w:val="22"/>
                <w:lang w:eastAsia="en-US"/>
              </w:rPr>
              <w:t xml:space="preserve">дней </w:t>
            </w:r>
            <w:r>
              <w:rPr>
                <w:sz w:val="22"/>
                <w:szCs w:val="22"/>
                <w:lang w:val="ru-RU" w:eastAsia="en-US"/>
              </w:rPr>
              <w:t>со дня получения оферты</w:t>
            </w:r>
            <w:r>
              <w:rPr>
                <w:sz w:val="22"/>
                <w:szCs w:val="22"/>
                <w:lang w:eastAsia="en-US"/>
              </w:rPr>
              <w:t xml:space="preserve"> –  заявка аннулируется.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646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0A23325E" w14:textId="77777777" w:rsidTr="0062083F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3A0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305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551C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B6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2.3 </w:t>
            </w:r>
            <w:r>
              <w:rPr>
                <w:sz w:val="22"/>
                <w:szCs w:val="22"/>
                <w:lang w:eastAsia="en-US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</w:t>
            </w:r>
            <w:r>
              <w:rPr>
                <w:sz w:val="22"/>
                <w:szCs w:val="22"/>
                <w:lang w:eastAsia="en-US"/>
              </w:rPr>
              <w:lastRenderedPageBreak/>
              <w:t>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501" w14:textId="60DAFD93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</w:t>
            </w:r>
            <w:r>
              <w:rPr>
                <w:sz w:val="22"/>
                <w:szCs w:val="22"/>
                <w:lang w:eastAsia="en-US"/>
              </w:rPr>
              <w:lastRenderedPageBreak/>
              <w:t>получения, или выдача заявителю в офисе обслуживания потребителей;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электронная форма договора размещается на сайте</w:t>
            </w:r>
            <w:r w:rsidR="00C84336">
              <w:rPr>
                <w:sz w:val="22"/>
                <w:szCs w:val="22"/>
                <w:lang w:eastAsia="en-US"/>
              </w:rPr>
              <w:t xml:space="preserve"> ООО «Архэнергия» </w:t>
            </w:r>
            <w:r>
              <w:rPr>
                <w:sz w:val="22"/>
                <w:szCs w:val="22"/>
                <w:lang w:eastAsia="en-US"/>
              </w:rPr>
              <w:t>через Личный кабинет.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261C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10</w:t>
            </w:r>
            <w:r>
              <w:rPr>
                <w:sz w:val="22"/>
                <w:szCs w:val="22"/>
                <w:lang w:eastAsia="en-US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C8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32F74EC" w14:textId="77777777" w:rsidTr="0062083F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0084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7C8E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1AB1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F79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2.4</w:t>
            </w:r>
            <w:r>
              <w:rPr>
                <w:sz w:val="22"/>
                <w:szCs w:val="22"/>
                <w:lang w:eastAsia="en-US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02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14:paraId="3F32D05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8594" w14:textId="77777777" w:rsidR="0062083F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позднее 2 рабочих дней с даты заключения договора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4EC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037B0E07" w14:textId="77777777" w:rsidTr="0062083F"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DE6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41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CE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Заключенный </w:t>
            </w:r>
            <w:proofErr w:type="spellStart"/>
            <w:r>
              <w:rPr>
                <w:sz w:val="22"/>
                <w:szCs w:val="22"/>
                <w:lang w:eastAsia="en-US"/>
              </w:rPr>
              <w:t>дого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                         вор об осуществлении технологического присоединения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3C3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3.1</w:t>
            </w:r>
            <w:r>
              <w:rPr>
                <w:sz w:val="22"/>
                <w:szCs w:val="22"/>
                <w:lang w:eastAsia="en-US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B3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A11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186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16,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2DC61DF7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E2C3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0501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A75C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1C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3.2</w:t>
            </w:r>
            <w:r>
              <w:rPr>
                <w:sz w:val="22"/>
                <w:szCs w:val="22"/>
                <w:lang w:eastAsia="en-US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5C4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70B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70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16, 18 Правил технологического присоединения </w:t>
            </w:r>
            <w:r>
              <w:rPr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62083F" w14:paraId="0AF4A7D8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87C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5906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1C10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665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3.3</w:t>
            </w:r>
            <w:r>
              <w:rPr>
                <w:sz w:val="22"/>
                <w:szCs w:val="22"/>
                <w:lang w:eastAsia="en-US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08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FFC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8F77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</w:tr>
      <w:tr w:rsidR="0062083F" w14:paraId="5F94F95D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440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096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9591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4E1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3.4</w:t>
            </w:r>
            <w:r>
              <w:rPr>
                <w:sz w:val="22"/>
                <w:szCs w:val="22"/>
                <w:lang w:eastAsia="en-US"/>
              </w:rPr>
              <w:t>.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29DC375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1CB" w14:textId="5C27D5D9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необходимых документов либо уведомление в электронной форме на сайте</w:t>
            </w:r>
            <w:r w:rsidR="00C84336">
              <w:rPr>
                <w:sz w:val="22"/>
                <w:szCs w:val="22"/>
                <w:lang w:eastAsia="en-US"/>
              </w:rPr>
              <w:t xml:space="preserve"> ООО «Архэнергия»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A2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78D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0ECBDDBC" w14:textId="77777777" w:rsidTr="0062083F"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4703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435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C6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4B2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C6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 о выполнении технических условий в письменной форме.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50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10 дней со дня получения от заявителя документов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E5E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 82-90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541A7844" w14:textId="77777777" w:rsidTr="0062083F">
        <w:trPr>
          <w:trHeight w:val="3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30B7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7E5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6C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Невыполнение заявителем требований технических условий и проектной</w:t>
            </w:r>
          </w:p>
          <w:p w14:paraId="1CF1ECF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документации по</w:t>
            </w:r>
          </w:p>
          <w:p w14:paraId="081C6F7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результатам</w:t>
            </w:r>
          </w:p>
          <w:p w14:paraId="45ECD064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проверки</w:t>
            </w:r>
          </w:p>
          <w:p w14:paraId="290373F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выполнения</w:t>
            </w:r>
          </w:p>
          <w:p w14:paraId="0484398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заявителем</w:t>
            </w:r>
          </w:p>
          <w:p w14:paraId="5F9E9F84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технических условий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7B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Повторный осмотр электроустановки заявителя, выдача акта о выполнении технических условий после устранения всех замечаний, направленных сетевой организацией заявителю</w:t>
            </w:r>
          </w:p>
          <w:p w14:paraId="20B0D0B3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359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замечаний, выявленных в ходе проверки и подлежащих выполнению.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0ED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DC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10A985F1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B726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C9A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AF1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 выполнения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заявителем  требований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технических условий и проектной</w:t>
            </w:r>
          </w:p>
          <w:p w14:paraId="6D4C2813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документации по</w:t>
            </w:r>
          </w:p>
          <w:p w14:paraId="1DAA49A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результатам</w:t>
            </w:r>
          </w:p>
          <w:p w14:paraId="28D8631C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проверки</w:t>
            </w:r>
          </w:p>
          <w:p w14:paraId="105F020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выполнения</w:t>
            </w:r>
          </w:p>
          <w:p w14:paraId="27DDFD7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заявителем</w:t>
            </w:r>
          </w:p>
          <w:p w14:paraId="0A50C0A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технических условий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900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4.3.</w:t>
            </w:r>
            <w:r>
              <w:rPr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0BD1095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CFF" w14:textId="77777777" w:rsidR="0062083F" w:rsidRDefault="0001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8" w:history="1">
              <w:r w:rsidR="0062083F">
                <w:rPr>
                  <w:rStyle w:val="a5"/>
                  <w:color w:val="auto"/>
                  <w:sz w:val="22"/>
                  <w:szCs w:val="22"/>
                  <w:lang w:eastAsia="en-US"/>
                </w:rPr>
                <w:t>Акт</w:t>
              </w:r>
            </w:hyperlink>
            <w:r w:rsidR="0062083F">
              <w:rPr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18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91A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Х Основных положений функционирования розничных рынков электрической энергии</w:t>
            </w:r>
            <w:r>
              <w:rPr>
                <w:rStyle w:val="a6"/>
                <w:sz w:val="22"/>
                <w:szCs w:val="22"/>
                <w:lang w:eastAsia="en-US"/>
              </w:rPr>
              <w:footnoteReference w:id="2"/>
            </w:r>
          </w:p>
        </w:tc>
      </w:tr>
      <w:tr w:rsidR="0062083F" w14:paraId="39E7135D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32F6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DAFD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EAAA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B8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4.4.</w:t>
            </w:r>
            <w:r>
              <w:rPr>
                <w:sz w:val="22"/>
                <w:szCs w:val="22"/>
                <w:lang w:eastAsia="en-US"/>
              </w:rPr>
              <w:t xml:space="preserve"> Выдача заявителю подписанного со стороны сетевой организации Акта о выполнении технических условий в 2 экземплярах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8C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A6B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8DC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7E896926" w14:textId="77777777" w:rsidTr="006208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3A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D37F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9B1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AD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4.5 </w:t>
            </w:r>
            <w:r>
              <w:rPr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3BBF497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4F1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8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B8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3F8DA12" w14:textId="77777777" w:rsidTr="0062083F"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C399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BAE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B5D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14:paraId="297DB9F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подписанных сетевой</w:t>
            </w:r>
          </w:p>
          <w:p w14:paraId="57552AA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организацией и</w:t>
            </w:r>
          </w:p>
          <w:p w14:paraId="7952194A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заявителем акта о</w:t>
            </w:r>
          </w:p>
          <w:p w14:paraId="5DA116C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выполнении</w:t>
            </w:r>
          </w:p>
          <w:p w14:paraId="07F4BE79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технических условий</w:t>
            </w:r>
          </w:p>
          <w:p w14:paraId="533BCF1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акта допуска</w:t>
            </w:r>
          </w:p>
          <w:p w14:paraId="3883B85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прибора учета к</w:t>
            </w:r>
          </w:p>
          <w:p w14:paraId="30438A11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эксплуатации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B5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D6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F3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CCA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376ECD9" w14:textId="77777777" w:rsidTr="0062083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BA7B" w14:textId="77777777" w:rsidR="0062083F" w:rsidRDefault="0062083F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E7A2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21B8" w14:textId="77777777" w:rsidR="0062083F" w:rsidRDefault="00620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10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5.2.</w:t>
            </w:r>
            <w:r>
              <w:rPr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 акта об осуществлении технологического присоединения</w:t>
            </w:r>
          </w:p>
          <w:p w14:paraId="4EF1E39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4390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Подписанный со стороны сетевой организации Акт в письменной или электронной форме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7E4" w14:textId="77777777" w:rsidR="0062083F" w:rsidRDefault="0062083F" w:rsidP="0062083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 электрическим сетям и фактического приема (подачи) напряжения и мощности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71B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083F" w14:paraId="430FDEB6" w14:textId="77777777" w:rsidTr="0062083F">
        <w:trPr>
          <w:trHeight w:val="2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979" w14:textId="77777777" w:rsidR="0062083F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C3B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BAD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Подписанный</w:t>
            </w:r>
          </w:p>
          <w:p w14:paraId="20101DB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сетевой</w:t>
            </w:r>
          </w:p>
          <w:p w14:paraId="2550D33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организацией и</w:t>
            </w:r>
          </w:p>
          <w:p w14:paraId="28C3DEB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заявителем акт об</w:t>
            </w:r>
          </w:p>
          <w:p w14:paraId="7D44D8DD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осуществлении</w:t>
            </w:r>
          </w:p>
          <w:p w14:paraId="55409F2E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технологического</w:t>
            </w:r>
          </w:p>
          <w:p w14:paraId="2B277C28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присоединения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D935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5.3.</w:t>
            </w:r>
            <w:r>
              <w:rPr>
                <w:sz w:val="22"/>
                <w:szCs w:val="22"/>
                <w:lang w:eastAsia="en-US"/>
              </w:rPr>
              <w:t xml:space="preserve"> Направление сетевой организацией подписанных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с  заявителем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актов об</w:t>
            </w:r>
          </w:p>
          <w:p w14:paraId="47E39574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осуществлении</w:t>
            </w:r>
          </w:p>
          <w:p w14:paraId="00E95CC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технологического</w:t>
            </w:r>
          </w:p>
          <w:p w14:paraId="13983B3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присоединения в энергосбытовую организацию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9F47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F66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 рабочих дней после предоставления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подписанных  заявителем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актов об</w:t>
            </w:r>
          </w:p>
          <w:p w14:paraId="55F8EAB2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осуществлении</w:t>
            </w:r>
          </w:p>
          <w:p w14:paraId="495082CF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технологического</w:t>
            </w:r>
          </w:p>
          <w:p w14:paraId="30B7185D" w14:textId="77777777" w:rsidR="0062083F" w:rsidRDefault="0062083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присоединения в сетевую организацию.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777" w14:textId="77777777" w:rsidR="0062083F" w:rsidRDefault="006208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2DFB6F8" w14:textId="77777777" w:rsidR="008543B1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14:paraId="6B7B338A" w14:textId="77777777" w:rsidR="008543B1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14:paraId="7075211A" w14:textId="77777777" w:rsidR="008543B1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14:paraId="5883D8E8" w14:textId="77777777" w:rsidR="0062083F" w:rsidRDefault="0062083F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Способы подачи заявки:</w:t>
      </w:r>
    </w:p>
    <w:p w14:paraId="55251CDD" w14:textId="77777777" w:rsidR="00F222A1" w:rsidRPr="00336022" w:rsidRDefault="00F222A1" w:rsidP="00F222A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6022">
        <w:rPr>
          <w:sz w:val="26"/>
          <w:szCs w:val="26"/>
        </w:rPr>
        <w:t>письмом;</w:t>
      </w:r>
    </w:p>
    <w:p w14:paraId="0BD1294C" w14:textId="7A7D23A3" w:rsidR="00F222A1" w:rsidRPr="00336022" w:rsidRDefault="00F222A1" w:rsidP="00F222A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6022">
        <w:rPr>
          <w:sz w:val="26"/>
          <w:szCs w:val="26"/>
        </w:rPr>
        <w:t xml:space="preserve">лично или через уполномоченного представителя в </w:t>
      </w:r>
      <w:r w:rsidR="00C84336">
        <w:rPr>
          <w:sz w:val="26"/>
          <w:szCs w:val="26"/>
          <w:lang w:val="ru-RU"/>
        </w:rPr>
        <w:t>офисе ООО «Архэнергия»</w:t>
      </w:r>
    </w:p>
    <w:p w14:paraId="722A085F" w14:textId="276650CB" w:rsidR="00F222A1" w:rsidRPr="00336022" w:rsidRDefault="00F222A1" w:rsidP="00F222A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6022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="00C84336">
        <w:rPr>
          <w:sz w:val="26"/>
          <w:szCs w:val="26"/>
          <w:lang w:val="ru-RU"/>
        </w:rPr>
        <w:t>ООО «Архэнергия»</w:t>
      </w:r>
    </w:p>
    <w:p w14:paraId="1F6D8E5E" w14:textId="4D15DE76" w:rsidR="0021747C" w:rsidRPr="00C84336" w:rsidRDefault="0021747C" w:rsidP="00C8433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21747C">
        <w:rPr>
          <w:b/>
          <w:sz w:val="26"/>
          <w:szCs w:val="26"/>
        </w:rPr>
        <w:t>Контактная информация для направления обращений</w:t>
      </w:r>
      <w:r w:rsidR="00C84336" w:rsidRPr="00C84336">
        <w:rPr>
          <w:b/>
          <w:sz w:val="26"/>
          <w:szCs w:val="26"/>
          <w:lang w:val="ru-RU"/>
        </w:rPr>
        <w:t>:</w:t>
      </w:r>
    </w:p>
    <w:p w14:paraId="48FB7906" w14:textId="77777777" w:rsidR="0021747C" w:rsidRPr="0062083F" w:rsidRDefault="0021747C" w:rsidP="00C84336">
      <w:pPr>
        <w:pStyle w:val="a3"/>
        <w:autoSpaceDE w:val="0"/>
        <w:autoSpaceDN w:val="0"/>
        <w:adjustRightInd w:val="0"/>
        <w:ind w:left="927"/>
        <w:jc w:val="both"/>
        <w:rPr>
          <w:sz w:val="26"/>
          <w:szCs w:val="26"/>
        </w:rPr>
      </w:pPr>
    </w:p>
    <w:p w14:paraId="725EC2F4" w14:textId="3C0B836E" w:rsidR="0021747C" w:rsidRPr="0062083F" w:rsidRDefault="0021747C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1747C">
        <w:rPr>
          <w:sz w:val="26"/>
          <w:szCs w:val="26"/>
        </w:rPr>
        <w:t xml:space="preserve">Адрес электронной почты </w:t>
      </w:r>
      <w:r w:rsidR="00C84336">
        <w:rPr>
          <w:sz w:val="26"/>
          <w:szCs w:val="26"/>
          <w:lang w:val="ru-RU"/>
        </w:rPr>
        <w:t xml:space="preserve">ООО «Архэнергия» </w:t>
      </w:r>
      <w:r w:rsidR="00C84336">
        <w:rPr>
          <w:rFonts w:ascii="Arial" w:hAnsi="Arial" w:cs="Arial"/>
          <w:color w:val="4C4C4C"/>
          <w:sz w:val="23"/>
          <w:szCs w:val="23"/>
          <w:shd w:val="clear" w:color="auto" w:fill="FFFFFF"/>
        </w:rPr>
        <w:t>arhenergya@yandex.ru</w:t>
      </w:r>
    </w:p>
    <w:p w14:paraId="3869FA6F" w14:textId="23491705" w:rsidR="006F5A72" w:rsidRDefault="0021747C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62083F">
        <w:rPr>
          <w:sz w:val="26"/>
          <w:szCs w:val="26"/>
        </w:rPr>
        <w:t>Адрес офис</w:t>
      </w:r>
      <w:r w:rsidR="00C84336">
        <w:rPr>
          <w:sz w:val="26"/>
          <w:szCs w:val="26"/>
          <w:lang w:val="ru-RU"/>
        </w:rPr>
        <w:t>а</w:t>
      </w:r>
      <w:r w:rsidRPr="0062083F">
        <w:rPr>
          <w:sz w:val="26"/>
          <w:szCs w:val="26"/>
        </w:rPr>
        <w:t xml:space="preserve"> обслуживания потребителей:</w:t>
      </w:r>
      <w:r w:rsidR="00C84336">
        <w:t xml:space="preserve"> </w:t>
      </w:r>
      <w:r w:rsidR="00C84336">
        <w:rPr>
          <w:lang w:val="ru-RU"/>
        </w:rPr>
        <w:t>г. Архангельск, пр-т Троицкий, д.63, офис 28</w:t>
      </w:r>
    </w:p>
    <w:sectPr w:rsidR="006F5A72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2F4D" w14:textId="77777777" w:rsidR="00016ECA" w:rsidRDefault="00016ECA" w:rsidP="00136CFB">
      <w:r>
        <w:separator/>
      </w:r>
    </w:p>
  </w:endnote>
  <w:endnote w:type="continuationSeparator" w:id="0">
    <w:p w14:paraId="13E66502" w14:textId="77777777" w:rsidR="00016ECA" w:rsidRDefault="00016ECA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B1B6" w14:textId="77777777" w:rsidR="00016ECA" w:rsidRDefault="00016ECA" w:rsidP="00136CFB">
      <w:r>
        <w:separator/>
      </w:r>
    </w:p>
  </w:footnote>
  <w:footnote w:type="continuationSeparator" w:id="0">
    <w:p w14:paraId="72D47AFD" w14:textId="77777777" w:rsidR="00016ECA" w:rsidRDefault="00016ECA" w:rsidP="00136CFB">
      <w:r>
        <w:continuationSeparator/>
      </w:r>
    </w:p>
  </w:footnote>
  <w:footnote w:id="1">
    <w:p w14:paraId="77BFACB2" w14:textId="77777777" w:rsidR="0062083F" w:rsidRDefault="0062083F" w:rsidP="0062083F">
      <w:pPr>
        <w:pStyle w:val="af"/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0F51280C" w14:textId="77777777" w:rsidR="0062083F" w:rsidRDefault="0062083F" w:rsidP="0062083F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FB"/>
    <w:rsid w:val="00016ECA"/>
    <w:rsid w:val="00054490"/>
    <w:rsid w:val="000C009A"/>
    <w:rsid w:val="000F3CD2"/>
    <w:rsid w:val="00136CFB"/>
    <w:rsid w:val="001429EA"/>
    <w:rsid w:val="001917CD"/>
    <w:rsid w:val="0021747C"/>
    <w:rsid w:val="002A73C9"/>
    <w:rsid w:val="002C15E8"/>
    <w:rsid w:val="00336022"/>
    <w:rsid w:val="003E2210"/>
    <w:rsid w:val="00460A8A"/>
    <w:rsid w:val="00495EE9"/>
    <w:rsid w:val="004E0A4E"/>
    <w:rsid w:val="005141C6"/>
    <w:rsid w:val="0062083F"/>
    <w:rsid w:val="00622EED"/>
    <w:rsid w:val="0062328C"/>
    <w:rsid w:val="006778E3"/>
    <w:rsid w:val="006A47B5"/>
    <w:rsid w:val="006F5A72"/>
    <w:rsid w:val="007223EC"/>
    <w:rsid w:val="0072371F"/>
    <w:rsid w:val="007320C7"/>
    <w:rsid w:val="008543B1"/>
    <w:rsid w:val="00B0191F"/>
    <w:rsid w:val="00C1415D"/>
    <w:rsid w:val="00C84336"/>
    <w:rsid w:val="00F2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05B4"/>
  <w15:docId w15:val="{68609DC6-EA78-4183-8C26-4CE301B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BC6E-40CD-4F74-986E-2117105F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Дмитрий</cp:lastModifiedBy>
  <cp:revision>3</cp:revision>
  <dcterms:created xsi:type="dcterms:W3CDTF">2020-11-17T08:32:00Z</dcterms:created>
  <dcterms:modified xsi:type="dcterms:W3CDTF">2020-11-18T06:07:00Z</dcterms:modified>
</cp:coreProperties>
</file>