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04FD" w:rsidRDefault="00BC61A4">
      <w:pPr>
        <w:pStyle w:val="normal"/>
        <w:spacing w:line="240" w:lineRule="auto"/>
        <w:jc w:val="center"/>
      </w:pPr>
      <w:r>
        <w:rPr>
          <w:b/>
          <w:sz w:val="20"/>
          <w:szCs w:val="20"/>
        </w:rPr>
        <w:t>ДОГОВОР О ВОЗМЕЗДНО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 xml:space="preserve"> ОКАЗАНИ</w:t>
      </w:r>
      <w:r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</w:p>
    <w:p w:rsidR="005B04FD" w:rsidRDefault="00BC61A4">
      <w:pPr>
        <w:pStyle w:val="normal"/>
        <w:spacing w:line="240" w:lineRule="auto"/>
        <w:jc w:val="center"/>
      </w:pPr>
      <w:r>
        <w:rPr>
          <w:b/>
          <w:sz w:val="20"/>
          <w:szCs w:val="20"/>
        </w:rPr>
        <w:t>УСЛУГ ПО ПЕРЕДАЧЕ ЭЛЕКТРИЧЕСКОЙ ЭНЕРГИИ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1 марта </w:t>
      </w:r>
      <w:r>
        <w:rPr>
          <w:sz w:val="20"/>
          <w:szCs w:val="20"/>
        </w:rPr>
        <w:t>2016 года _______________________________________________</w:t>
      </w:r>
      <w:r>
        <w:rPr>
          <w:sz w:val="20"/>
          <w:szCs w:val="20"/>
        </w:rPr>
        <w:t xml:space="preserve"> (Потребитель услуг</w:t>
      </w:r>
      <w:r>
        <w:rPr>
          <w:sz w:val="20"/>
          <w:szCs w:val="20"/>
        </w:rPr>
        <w:t>) и Общество с ограниченной ответственностью «Призма» (Сетевая организация) договорились о следующем: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ПРЕДМЕТ ДОГОВОРА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>1. Сетевая организация обязуется осуществить комплекс организационно и технологически связанных действий</w:t>
      </w:r>
      <w:r>
        <w:rPr>
          <w:sz w:val="20"/>
          <w:szCs w:val="20"/>
        </w:rPr>
        <w:t>, обеспечивающих</w:t>
      </w:r>
      <w:r>
        <w:rPr>
          <w:sz w:val="20"/>
          <w:szCs w:val="20"/>
        </w:rPr>
        <w:t xml:space="preserve"> передач</w:t>
      </w:r>
      <w:r>
        <w:rPr>
          <w:sz w:val="20"/>
          <w:szCs w:val="20"/>
        </w:rPr>
        <w:t>у</w:t>
      </w:r>
      <w:r>
        <w:rPr>
          <w:sz w:val="20"/>
          <w:szCs w:val="20"/>
        </w:rPr>
        <w:t xml:space="preserve"> элек</w:t>
      </w:r>
      <w:r>
        <w:rPr>
          <w:sz w:val="20"/>
          <w:szCs w:val="20"/>
        </w:rPr>
        <w:t xml:space="preserve">трической энергии через технические устройства электрических сетей, а Потребитель услуг 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оплатить</w:t>
      </w:r>
      <w:r>
        <w:rPr>
          <w:sz w:val="20"/>
          <w:szCs w:val="20"/>
        </w:rPr>
        <w:t xml:space="preserve"> их</w:t>
      </w:r>
      <w:r>
        <w:rPr>
          <w:sz w:val="20"/>
          <w:szCs w:val="20"/>
        </w:rPr>
        <w:t>.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 xml:space="preserve">ЭНЕРГОПРИНИМАЮЩИЕ УСТРОЙСТВА, </w:t>
      </w: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ОТНОШЕНИИ</w:t>
      </w:r>
      <w:proofErr w:type="gramEnd"/>
      <w:r>
        <w:rPr>
          <w:sz w:val="20"/>
          <w:szCs w:val="20"/>
        </w:rPr>
        <w:t xml:space="preserve"> КОТОРЫХ ЗАКЛЮЧЕН ДОГОВОР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2. Договор заключен в отношении следующих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 (энергетичес</w:t>
      </w:r>
      <w:r>
        <w:rPr>
          <w:sz w:val="20"/>
          <w:szCs w:val="20"/>
        </w:rPr>
        <w:t>ких устройств) Потребителя услуг:</w:t>
      </w:r>
    </w:p>
    <w:p w:rsidR="005B04FD" w:rsidRDefault="005B04FD">
      <w:pPr>
        <w:pStyle w:val="normal"/>
        <w:spacing w:line="240" w:lineRule="auto"/>
        <w:jc w:val="both"/>
      </w:pPr>
    </w:p>
    <w:tbl>
      <w:tblPr>
        <w:tblStyle w:val="a5"/>
        <w:tblW w:w="90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535"/>
        <w:gridCol w:w="4535"/>
      </w:tblGrid>
      <w:tr w:rsidR="005B0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BC61A4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BC61A4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Место нахождения </w:t>
            </w:r>
          </w:p>
        </w:tc>
      </w:tr>
      <w:tr w:rsidR="005B0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5B04FD">
            <w:pPr>
              <w:pStyle w:val="normal"/>
              <w:widowControl w:val="0"/>
              <w:spacing w:line="240" w:lineRule="auto"/>
            </w:pP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5B04FD">
            <w:pPr>
              <w:pStyle w:val="normal"/>
              <w:widowControl w:val="0"/>
              <w:spacing w:line="240" w:lineRule="auto"/>
            </w:pPr>
          </w:p>
        </w:tc>
      </w:tr>
    </w:tbl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 xml:space="preserve">ВЕЛИЧИНА МАКСИМАЛЬНОЙ МОЩНОСТИ </w:t>
      </w: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ЭНЕРГОПРИНИМАЮЩИХ УСТРОЙСТВ ПОТРЕБИТЕЛ</w:t>
      </w:r>
      <w:r>
        <w:rPr>
          <w:sz w:val="20"/>
          <w:szCs w:val="20"/>
        </w:rPr>
        <w:t>Я УСЛУГ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. Максимальная мощность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 Потребителя услуг, технологически присоединенных в установленном законодательс</w:t>
      </w:r>
      <w:r>
        <w:rPr>
          <w:sz w:val="20"/>
          <w:szCs w:val="20"/>
        </w:rPr>
        <w:t xml:space="preserve">твом Российской Федерации порядке к электрическим сетям Сетевой организации, </w:t>
      </w:r>
      <w:r>
        <w:rPr>
          <w:sz w:val="20"/>
          <w:szCs w:val="20"/>
        </w:rPr>
        <w:t>по каждой точке поставки имеет следующие величины:</w:t>
      </w:r>
    </w:p>
    <w:p w:rsidR="005B04FD" w:rsidRDefault="005B04FD">
      <w:pPr>
        <w:pStyle w:val="normal"/>
        <w:spacing w:line="240" w:lineRule="auto"/>
        <w:jc w:val="both"/>
      </w:pPr>
    </w:p>
    <w:tbl>
      <w:tblPr>
        <w:tblStyle w:val="a6"/>
        <w:tblW w:w="90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024"/>
        <w:gridCol w:w="3023"/>
        <w:gridCol w:w="3023"/>
      </w:tblGrid>
      <w:tr w:rsidR="005B0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BC61A4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Наименование точки поставки</w:t>
            </w:r>
          </w:p>
        </w:tc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BC61A4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Расположение точки поставки</w:t>
            </w:r>
          </w:p>
        </w:tc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BC61A4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Максимальная мощность (кВт)</w:t>
            </w:r>
          </w:p>
        </w:tc>
      </w:tr>
      <w:tr w:rsidR="005B0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5B04FD">
            <w:pPr>
              <w:pStyle w:val="normal"/>
              <w:widowControl w:val="0"/>
              <w:spacing w:line="240" w:lineRule="auto"/>
            </w:pPr>
          </w:p>
        </w:tc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5B04FD">
            <w:pPr>
              <w:pStyle w:val="normal"/>
              <w:widowControl w:val="0"/>
              <w:spacing w:line="240" w:lineRule="auto"/>
            </w:pPr>
          </w:p>
        </w:tc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5B04FD">
            <w:pPr>
              <w:pStyle w:val="normal"/>
              <w:widowControl w:val="0"/>
              <w:spacing w:line="240" w:lineRule="auto"/>
              <w:jc w:val="center"/>
            </w:pPr>
          </w:p>
        </w:tc>
      </w:tr>
    </w:tbl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 xml:space="preserve">ПОРЯДОК </w:t>
      </w:r>
      <w:proofErr w:type="gramStart"/>
      <w:r>
        <w:rPr>
          <w:sz w:val="20"/>
          <w:szCs w:val="20"/>
        </w:rPr>
        <w:t>ОПРЕДЕЛЕНИЯ РАЗМЕРА ОБЯЗАТЕЛЬСТВ ПОТРЕБИТЕЛЯ УСЛУГ</w:t>
      </w:r>
      <w:proofErr w:type="gramEnd"/>
      <w:r>
        <w:rPr>
          <w:sz w:val="20"/>
          <w:szCs w:val="20"/>
        </w:rPr>
        <w:t xml:space="preserve"> </w:t>
      </w: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ПО ОПЛАТЕ УСЛУГ ПО ПЕРЕДАЧЕ ЭЛЕКТРИЧЕСКОЙ ЭНЕРГИИ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>4. Обязательства Потребителя услуг определяются в размере стоимости оказанных услуг.</w:t>
      </w: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5. Стоимость услуг по передаче электрической энергии определяется исходя из </w:t>
      </w:r>
      <w:proofErr w:type="spellStart"/>
      <w:r>
        <w:rPr>
          <w:sz w:val="20"/>
          <w:szCs w:val="20"/>
        </w:rPr>
        <w:t>одноставочного</w:t>
      </w:r>
      <w:proofErr w:type="spellEnd"/>
      <w:r>
        <w:rPr>
          <w:sz w:val="20"/>
          <w:szCs w:val="20"/>
        </w:rPr>
        <w:t xml:space="preserve"> единого (котлового) тарифа на</w:t>
      </w:r>
      <w:r>
        <w:rPr>
          <w:sz w:val="20"/>
          <w:szCs w:val="20"/>
        </w:rPr>
        <w:t xml:space="preserve"> услуги по передаче электрической энергии и объема оказанных услуг по передаче электрической энергии.</w:t>
      </w: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6. Объемы услуг по передаче электрической энергии, оказанных Сетевой организацией, определяются равными объемам электрической энергии, потребленной </w:t>
      </w:r>
      <w:proofErr w:type="spellStart"/>
      <w:r>
        <w:rPr>
          <w:sz w:val="20"/>
          <w:szCs w:val="20"/>
        </w:rPr>
        <w:t>энерго</w:t>
      </w:r>
      <w:r>
        <w:rPr>
          <w:sz w:val="20"/>
          <w:szCs w:val="20"/>
        </w:rPr>
        <w:t>принимающими</w:t>
      </w:r>
      <w:proofErr w:type="spellEnd"/>
      <w:r>
        <w:rPr>
          <w:sz w:val="20"/>
          <w:szCs w:val="20"/>
        </w:rPr>
        <w:t xml:space="preserve"> устройствами Потребителя услуг, технологически присоединенными к электрическим сетям Сетевой организации.</w:t>
      </w: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>7. Объемы потребления электрической энергии определяются в порядке, установленном Основными положениями функционирования розничных рынков</w:t>
      </w:r>
      <w:r>
        <w:rPr>
          <w:sz w:val="20"/>
          <w:szCs w:val="20"/>
        </w:rPr>
        <w:t xml:space="preserve"> электрической энергии, утвержденными постановлением Правительства Российской Федерации от 4 мая 2012 года № 442.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СРОКИ ОПЛАТЫ УСЛУГ ПО ПЕРЕДАЧЕ ЭЛЕКТРИЧЕСКОЙ ЭНЕРГИИ</w:t>
      </w:r>
    </w:p>
    <w:p w:rsidR="005B04FD" w:rsidRDefault="005B04FD">
      <w:pPr>
        <w:pStyle w:val="normal"/>
        <w:spacing w:line="240" w:lineRule="auto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>8. Потребитель услуг обязан оплачивать услуги по передаче электрической энергии до 15-</w:t>
      </w:r>
      <w:r>
        <w:rPr>
          <w:sz w:val="20"/>
          <w:szCs w:val="20"/>
        </w:rPr>
        <w:t xml:space="preserve">го числа месяца, следующего за </w:t>
      </w:r>
      <w:proofErr w:type="gramStart"/>
      <w:r>
        <w:rPr>
          <w:sz w:val="20"/>
          <w:szCs w:val="20"/>
        </w:rPr>
        <w:t>расчетным</w:t>
      </w:r>
      <w:proofErr w:type="gramEnd"/>
      <w:r>
        <w:rPr>
          <w:sz w:val="20"/>
          <w:szCs w:val="20"/>
        </w:rPr>
        <w:t>.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 xml:space="preserve">ОТВЕТСТВЕННОСТЬ СТОРОН ДОГОВОРА </w:t>
      </w: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ЗА СОСТОЯНИЕ И ОБСЛУЖИВАНИЕ ОБЪЕКТОВ ЭЛЕКТРОСЕ</w:t>
      </w:r>
      <w:r>
        <w:rPr>
          <w:sz w:val="20"/>
          <w:szCs w:val="20"/>
        </w:rPr>
        <w:t>ТЕВОГО ХОЗЯЙСТВА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. Ответственность </w:t>
      </w:r>
      <w:r>
        <w:rPr>
          <w:sz w:val="20"/>
          <w:szCs w:val="20"/>
        </w:rPr>
        <w:t>Потребителя услуг и Сетевой организации</w:t>
      </w:r>
      <w:r>
        <w:rPr>
          <w:sz w:val="20"/>
          <w:szCs w:val="20"/>
        </w:rPr>
        <w:t xml:space="preserve"> за состояние и обслуживание </w:t>
      </w:r>
      <w:r>
        <w:rPr>
          <w:sz w:val="20"/>
          <w:szCs w:val="20"/>
        </w:rPr>
        <w:t xml:space="preserve">объектов </w:t>
      </w:r>
      <w:proofErr w:type="spellStart"/>
      <w:r>
        <w:rPr>
          <w:sz w:val="20"/>
          <w:szCs w:val="20"/>
        </w:rPr>
        <w:t>электросетевого</w:t>
      </w:r>
      <w:proofErr w:type="spellEnd"/>
      <w:r>
        <w:rPr>
          <w:sz w:val="20"/>
          <w:szCs w:val="20"/>
        </w:rPr>
        <w:t xml:space="preserve"> хозяйства определяется балансовой принадлежностью Сетевой организации и Потребителя услуг и </w:t>
      </w:r>
      <w:r>
        <w:rPr>
          <w:sz w:val="20"/>
          <w:szCs w:val="20"/>
        </w:rPr>
        <w:t>фиксир</w:t>
      </w:r>
      <w:r>
        <w:rPr>
          <w:sz w:val="20"/>
          <w:szCs w:val="20"/>
        </w:rPr>
        <w:t>уется</w:t>
      </w:r>
      <w:r>
        <w:rPr>
          <w:sz w:val="20"/>
          <w:szCs w:val="20"/>
        </w:rPr>
        <w:t xml:space="preserve"> в акте разграничения балансовой принадлежности электросетей и акте эксплуатационной ответственности сторон, являющихся приложен</w:t>
      </w:r>
      <w:r>
        <w:rPr>
          <w:sz w:val="20"/>
          <w:szCs w:val="20"/>
        </w:rPr>
        <w:t>иями к договору.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 xml:space="preserve">СВЕДЕНИЯ О ПРИБОРАХ УЧЕТА ЭЛЕКТРИЧЕСКОЙ ЭНЕРГИИ, </w:t>
      </w:r>
    </w:p>
    <w:p w:rsidR="005B04FD" w:rsidRDefault="00BC61A4">
      <w:pPr>
        <w:pStyle w:val="normal"/>
        <w:spacing w:line="240" w:lineRule="auto"/>
        <w:jc w:val="center"/>
      </w:pPr>
      <w:proofErr w:type="gramStart"/>
      <w:r>
        <w:rPr>
          <w:sz w:val="20"/>
          <w:szCs w:val="20"/>
        </w:rPr>
        <w:t>ИСПОЛЬЗУЕМЫХ ДЛЯ РАСЧЕТОВ ПО ДОГОВОРУ</w:t>
      </w:r>
      <w:proofErr w:type="gramEnd"/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10. Для расчетов по договору используются следующие приборы учета, установленные на дату заключения договора в отношении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</w:t>
      </w:r>
      <w:r>
        <w:rPr>
          <w:sz w:val="20"/>
          <w:szCs w:val="20"/>
        </w:rPr>
        <w:t xml:space="preserve"> Потребителя услуг:</w:t>
      </w:r>
    </w:p>
    <w:p w:rsidR="005B04FD" w:rsidRDefault="005B04FD">
      <w:pPr>
        <w:pStyle w:val="normal"/>
        <w:spacing w:line="240" w:lineRule="auto"/>
        <w:jc w:val="both"/>
      </w:pPr>
    </w:p>
    <w:tbl>
      <w:tblPr>
        <w:tblStyle w:val="a7"/>
        <w:tblW w:w="9066" w:type="dxa"/>
        <w:tblInd w:w="0" w:type="dxa"/>
        <w:tblLayout w:type="fixed"/>
        <w:tblLook w:val="0000"/>
      </w:tblPr>
      <w:tblGrid>
        <w:gridCol w:w="1511"/>
        <w:gridCol w:w="1511"/>
        <w:gridCol w:w="1511"/>
        <w:gridCol w:w="1511"/>
        <w:gridCol w:w="1511"/>
        <w:gridCol w:w="1511"/>
      </w:tblGrid>
      <w:tr w:rsidR="005B04F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FD" w:rsidRDefault="00BC61A4">
            <w:pPr>
              <w:pStyle w:val="normal"/>
              <w:spacing w:line="240" w:lineRule="auto"/>
            </w:pPr>
            <w:r>
              <w:rPr>
                <w:sz w:val="18"/>
                <w:szCs w:val="18"/>
              </w:rPr>
              <w:t>Точка поставки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FD" w:rsidRDefault="00BC61A4">
            <w:pPr>
              <w:pStyle w:val="normal"/>
              <w:spacing w:line="240" w:lineRule="auto"/>
            </w:pPr>
            <w:r>
              <w:rPr>
                <w:sz w:val="18"/>
                <w:szCs w:val="18"/>
              </w:rPr>
              <w:t>Прибор учета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FD" w:rsidRDefault="00BC61A4">
            <w:pPr>
              <w:pStyle w:val="normal"/>
              <w:spacing w:line="240" w:lineRule="auto"/>
            </w:pPr>
            <w:r>
              <w:rPr>
                <w:sz w:val="18"/>
                <w:szCs w:val="18"/>
              </w:rPr>
              <w:t>Заводской номер прибора учета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FD" w:rsidRDefault="00BC61A4">
            <w:pPr>
              <w:pStyle w:val="normal"/>
              <w:spacing w:line="240" w:lineRule="auto"/>
            </w:pPr>
            <w:r>
              <w:rPr>
                <w:sz w:val="18"/>
                <w:szCs w:val="18"/>
              </w:rPr>
              <w:t>Место установки прибора учета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FD" w:rsidRDefault="00BC61A4">
            <w:pPr>
              <w:pStyle w:val="normal"/>
              <w:spacing w:line="240" w:lineRule="auto"/>
            </w:pPr>
            <w:r>
              <w:rPr>
                <w:sz w:val="18"/>
                <w:szCs w:val="18"/>
              </w:rPr>
              <w:t>Дата предыдущей и очередной поверки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FD" w:rsidRDefault="00BC61A4">
            <w:pPr>
              <w:pStyle w:val="normal"/>
              <w:spacing w:line="240" w:lineRule="auto"/>
            </w:pPr>
            <w:proofErr w:type="spellStart"/>
            <w:r>
              <w:rPr>
                <w:sz w:val="18"/>
                <w:szCs w:val="18"/>
              </w:rPr>
              <w:t>Межповерочный</w:t>
            </w:r>
            <w:proofErr w:type="spellEnd"/>
            <w:r>
              <w:rPr>
                <w:sz w:val="18"/>
                <w:szCs w:val="18"/>
              </w:rPr>
              <w:t xml:space="preserve"> интервал</w:t>
            </w:r>
          </w:p>
        </w:tc>
      </w:tr>
      <w:tr w:rsidR="005B04FD"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5B04FD" w:rsidRDefault="005B04FD">
            <w:pPr>
              <w:pStyle w:val="normal"/>
              <w:widowControl w:val="0"/>
              <w:spacing w:line="240" w:lineRule="auto"/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5B04FD" w:rsidRDefault="005B04FD">
            <w:pPr>
              <w:pStyle w:val="normal"/>
              <w:spacing w:line="240" w:lineRule="auto"/>
              <w:jc w:val="center"/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5B04FD" w:rsidRDefault="005B04FD">
            <w:pPr>
              <w:pStyle w:val="normal"/>
              <w:spacing w:line="240" w:lineRule="auto"/>
              <w:jc w:val="center"/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5B04FD" w:rsidRDefault="005B04FD">
            <w:pPr>
              <w:pStyle w:val="normal"/>
              <w:spacing w:line="240" w:lineRule="auto"/>
              <w:jc w:val="center"/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5B04FD" w:rsidRDefault="005B04FD">
            <w:pPr>
              <w:pStyle w:val="normal"/>
              <w:spacing w:line="240" w:lineRule="auto"/>
              <w:jc w:val="center"/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FD" w:rsidRDefault="005B04FD">
            <w:pPr>
              <w:pStyle w:val="normal"/>
              <w:spacing w:line="240" w:lineRule="auto"/>
              <w:jc w:val="center"/>
            </w:pPr>
          </w:p>
        </w:tc>
      </w:tr>
    </w:tbl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center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ПОРЯДОК ВЗАИМОДЕЙСТВИЯ СТОРОН ДОГОВОРА В ПРОЦЕССЕ УЧЕТА ЭЛЕКТРИЧЕСКОЙ ЭНЕРГИИ С ИСПОЛЬЗОВАНИЕМ ПРИБОРОВ УЧЕТА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11. Потребитель услуг обязан обеспечивать соблюдение установленного </w:t>
      </w:r>
      <w:proofErr w:type="gramStart"/>
      <w:r>
        <w:rPr>
          <w:sz w:val="20"/>
          <w:szCs w:val="20"/>
        </w:rPr>
        <w:t>в договоре в соответствии с законодательством Российской Федерации порядка взаимодействия сторон в процессе учета электрической энергии с использованием</w:t>
      </w:r>
      <w:proofErr w:type="gramEnd"/>
      <w:r>
        <w:rPr>
          <w:sz w:val="20"/>
          <w:szCs w:val="20"/>
        </w:rPr>
        <w:t xml:space="preserve"> приборов учета, в том числе</w:t>
      </w:r>
    </w:p>
    <w:p w:rsidR="005B04FD" w:rsidRDefault="00BC61A4">
      <w:pPr>
        <w:pStyle w:val="normal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обеспеч</w:t>
      </w:r>
      <w:r>
        <w:rPr>
          <w:sz w:val="20"/>
          <w:szCs w:val="20"/>
        </w:rPr>
        <w:t xml:space="preserve">ивать поверку прибора </w:t>
      </w:r>
      <w:proofErr w:type="gramStart"/>
      <w:r>
        <w:rPr>
          <w:sz w:val="20"/>
          <w:szCs w:val="20"/>
        </w:rPr>
        <w:t>учета</w:t>
      </w:r>
      <w:proofErr w:type="gramEnd"/>
      <w:r>
        <w:rPr>
          <w:sz w:val="20"/>
          <w:szCs w:val="20"/>
        </w:rPr>
        <w:t xml:space="preserve"> по истечении установленного для него </w:t>
      </w:r>
      <w:proofErr w:type="spellStart"/>
      <w:r>
        <w:rPr>
          <w:sz w:val="20"/>
          <w:szCs w:val="20"/>
        </w:rPr>
        <w:t>межповерочного</w:t>
      </w:r>
      <w:proofErr w:type="spellEnd"/>
      <w:r>
        <w:rPr>
          <w:sz w:val="20"/>
          <w:szCs w:val="20"/>
        </w:rPr>
        <w:t xml:space="preserve"> интервала в срок не более семи дней;</w:t>
      </w:r>
    </w:p>
    <w:p w:rsidR="005B04FD" w:rsidRDefault="00BC61A4">
      <w:pPr>
        <w:pStyle w:val="normal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восстанавливать учет в случае выхода из строя или утраты прибора учета в срок не более 1 месяца;</w:t>
      </w:r>
    </w:p>
    <w:p w:rsidR="005B04FD" w:rsidRDefault="00BC61A4">
      <w:pPr>
        <w:pStyle w:val="normal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ежемесячно до окончания 3-го дня месяца, с</w:t>
      </w:r>
      <w:r>
        <w:rPr>
          <w:sz w:val="20"/>
          <w:szCs w:val="20"/>
        </w:rPr>
        <w:t xml:space="preserve">ледующего за расчетным, передавать Сетевой организации данные прибора учета в письменной форме в виде </w:t>
      </w:r>
      <w:proofErr w:type="gramStart"/>
      <w:r>
        <w:rPr>
          <w:sz w:val="20"/>
          <w:szCs w:val="20"/>
        </w:rPr>
        <w:t>акта снятия показаний расчетных приборов учета</w:t>
      </w:r>
      <w:proofErr w:type="gramEnd"/>
      <w:r>
        <w:rPr>
          <w:sz w:val="20"/>
          <w:szCs w:val="20"/>
        </w:rPr>
        <w:t>;</w:t>
      </w:r>
    </w:p>
    <w:p w:rsidR="005B04FD" w:rsidRDefault="00BC61A4">
      <w:pPr>
        <w:pStyle w:val="normal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немедленно сообщать Сетевой организации о выходе прибора учета из эксплуатации.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ПОРЯДОК И СЛУЧАИ ДОПУСКА</w:t>
      </w:r>
      <w:r>
        <w:rPr>
          <w:sz w:val="20"/>
          <w:szCs w:val="20"/>
        </w:rPr>
        <w:t xml:space="preserve"> СТОРОН ДОГОВОРА</w:t>
      </w: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В ПУНКТЫ КОНТРОЛЯ И УЧЕТА ПЕРЕДАННОЙ ЭЛЕКТРИЧЕСКОЙ ЭНЕРГИИ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12. Потребитель услуг обязан допускать уполномоченных представителей Сетевой организации в пункты контроля и учета переданной электрической энергии в порядке и в случаях, которые </w:t>
      </w:r>
      <w:r>
        <w:rPr>
          <w:sz w:val="20"/>
          <w:szCs w:val="20"/>
        </w:rPr>
        <w:t>установлены Основными положениями функционирования розничных рынков электрической энергии, утвержденными постановлением Правительства Российской Федерации от 4 мая 2012 года № 442.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РЕЖИМ ПОТРЕБЛЕНИЯ ЭЛЕКТРИЧЕСКОЙ ЭНЕРГИИ ПОТРЕБИТЕЛЕМ УСЛУГ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lastRenderedPageBreak/>
        <w:t>13. Потребитель услуг имеет право круглосуточно использовать электрическую энергию в каждой точке поставки в пределах величины максимальной мощности, определенной в пункте 3 договора.</w:t>
      </w:r>
    </w:p>
    <w:p w:rsidR="005B04FD" w:rsidRDefault="005B04FD">
      <w:pPr>
        <w:pStyle w:val="normal"/>
        <w:spacing w:line="240" w:lineRule="auto"/>
        <w:jc w:val="center"/>
      </w:pPr>
    </w:p>
    <w:p w:rsidR="005B04FD" w:rsidRDefault="005B04FD">
      <w:pPr>
        <w:pStyle w:val="normal"/>
        <w:spacing w:line="240" w:lineRule="auto"/>
        <w:jc w:val="center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УСЛОВИЯ, СООТВЕТСТВУЮЩИЕ КАТЕГОРИИ НАДЕЖНОСТИ ЭНЕРГОПРИНИМАЮЩИХ УСТРОЙ</w:t>
      </w:r>
      <w:r>
        <w:rPr>
          <w:sz w:val="20"/>
          <w:szCs w:val="20"/>
        </w:rPr>
        <w:t>СТВ ПОТРЕБИТЕЛЯ УСЛУГ</w:t>
      </w:r>
    </w:p>
    <w:p w:rsidR="005B04FD" w:rsidRDefault="005B04FD">
      <w:pPr>
        <w:pStyle w:val="normal"/>
        <w:spacing w:line="240" w:lineRule="auto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14. Сетевая организация обязана обеспечить надежность снабжения электрической энергией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устройств, в отношении которых заключен договор, по третьей категории.</w:t>
      </w: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>15. Допустимое число часов отключения в год составляет 72</w:t>
      </w:r>
      <w:r>
        <w:rPr>
          <w:sz w:val="20"/>
          <w:szCs w:val="20"/>
        </w:rPr>
        <w:t xml:space="preserve"> часа, но не более 24 часов подряд, включая срок восстановления электроснабжения, за исключением случаев, когда для производства ремонта объектов </w:t>
      </w:r>
      <w:proofErr w:type="spellStart"/>
      <w:r>
        <w:rPr>
          <w:sz w:val="20"/>
          <w:szCs w:val="20"/>
        </w:rPr>
        <w:t>электросетевого</w:t>
      </w:r>
      <w:proofErr w:type="spellEnd"/>
      <w:r>
        <w:rPr>
          <w:sz w:val="20"/>
          <w:szCs w:val="20"/>
        </w:rPr>
        <w:t xml:space="preserve"> хозяйства необходимы более длительные сроки, согласованные с Федеральной службой по экологичес</w:t>
      </w:r>
      <w:r>
        <w:rPr>
          <w:sz w:val="20"/>
          <w:szCs w:val="20"/>
        </w:rPr>
        <w:t>кому, технологическому и атомному надзору.</w:t>
      </w:r>
    </w:p>
    <w:p w:rsidR="005B04FD" w:rsidRDefault="005B04FD">
      <w:pPr>
        <w:pStyle w:val="normal"/>
        <w:spacing w:line="240" w:lineRule="auto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ПОРЯДОК И СРОКИ ИНФОРМИРОВАНИЯ СТОРОН ДОГОВОРА ОБ АВАРИЙНЫХ СИТУАЦИЯХ, РЕМОНТНЫХ И ПРОФИЛАКТИЧЕСКИХ РАБОТАХ, ВЛИЯЮЩИХ НА ИСПОЛНЕНИЕ ОБЯЗАТЕЛЬСТВ ПО ДОГОВОРУ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>16. Стороны договора обязаны своевременно в письменно</w:t>
      </w:r>
      <w:r>
        <w:rPr>
          <w:sz w:val="20"/>
          <w:szCs w:val="20"/>
        </w:rPr>
        <w:t>й форме посредством электронной почты информировать друг друга об аварийных ситуациях в принадлежащих им электроустановках и о проводимых на них ремонтных и профилактических работах.</w:t>
      </w:r>
    </w:p>
    <w:p w:rsidR="005B04FD" w:rsidRDefault="005B04FD">
      <w:pPr>
        <w:pStyle w:val="normal"/>
        <w:spacing w:line="240" w:lineRule="auto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СВЕДЕНИЯ О СТОРОНАХ ДОГОВОРА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sz w:val="20"/>
          <w:szCs w:val="20"/>
        </w:rPr>
        <w:t>. Потребитель у</w:t>
      </w:r>
      <w:r>
        <w:rPr>
          <w:sz w:val="20"/>
          <w:szCs w:val="20"/>
        </w:rPr>
        <w:t>слуг</w:t>
      </w:r>
      <w:r>
        <w:rPr>
          <w:sz w:val="20"/>
          <w:szCs w:val="20"/>
        </w:rPr>
        <w:t>: _________________________________________________________</w:t>
      </w:r>
    </w:p>
    <w:p w:rsidR="00BC61A4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>____________________________________________________________________________</w:t>
      </w: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>1</w:t>
      </w:r>
      <w:r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етевая организация: </w:t>
      </w:r>
      <w:r>
        <w:rPr>
          <w:sz w:val="20"/>
          <w:szCs w:val="20"/>
        </w:rPr>
        <w:t xml:space="preserve">163000 </w:t>
      </w:r>
      <w:r>
        <w:rPr>
          <w:sz w:val="20"/>
          <w:szCs w:val="20"/>
        </w:rPr>
        <w:t>Архангельск пр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 xml:space="preserve">роицкий д.63 каб.28, </w:t>
      </w:r>
      <w:proofErr w:type="spellStart"/>
      <w:r>
        <w:rPr>
          <w:sz w:val="20"/>
          <w:szCs w:val="20"/>
        </w:rPr>
        <w:t>setpriz</w:t>
      </w:r>
      <w:r>
        <w:rPr>
          <w:sz w:val="20"/>
          <w:szCs w:val="20"/>
        </w:rPr>
        <w:t>ma@yandex.ru</w:t>
      </w:r>
      <w:proofErr w:type="spellEnd"/>
      <w:r>
        <w:rPr>
          <w:sz w:val="20"/>
          <w:szCs w:val="20"/>
        </w:rPr>
        <w:t>, ИНН 2903003687, КПП 290101001</w:t>
      </w:r>
      <w:r>
        <w:rPr>
          <w:sz w:val="20"/>
          <w:szCs w:val="20"/>
        </w:rPr>
        <w:t>.</w:t>
      </w:r>
    </w:p>
    <w:p w:rsidR="005B04FD" w:rsidRDefault="005B04FD">
      <w:pPr>
        <w:pStyle w:val="normal"/>
        <w:spacing w:line="240" w:lineRule="auto"/>
      </w:pPr>
    </w:p>
    <w:p w:rsidR="005B04FD" w:rsidRDefault="00BC61A4">
      <w:pPr>
        <w:pStyle w:val="normal"/>
        <w:spacing w:line="240" w:lineRule="auto"/>
      </w:pPr>
      <w:r>
        <w:rPr>
          <w:sz w:val="20"/>
          <w:szCs w:val="20"/>
        </w:rPr>
        <w:t xml:space="preserve">Управляющий ООО “Призма”                                                                              </w:t>
      </w:r>
      <w:proofErr w:type="spellStart"/>
      <w:r>
        <w:rPr>
          <w:sz w:val="20"/>
          <w:szCs w:val="20"/>
        </w:rPr>
        <w:t>В.А.Долгобородов</w:t>
      </w:r>
      <w:proofErr w:type="spellEnd"/>
    </w:p>
    <w:p w:rsidR="005B04FD" w:rsidRDefault="005B04FD">
      <w:pPr>
        <w:pStyle w:val="normal"/>
        <w:spacing w:line="240" w:lineRule="auto"/>
      </w:pPr>
    </w:p>
    <w:p w:rsidR="005B04FD" w:rsidRDefault="005B04FD">
      <w:pPr>
        <w:pStyle w:val="normal"/>
        <w:spacing w:line="240" w:lineRule="auto"/>
      </w:pPr>
    </w:p>
    <w:p w:rsidR="005B04FD" w:rsidRDefault="005B04FD">
      <w:pPr>
        <w:pStyle w:val="normal"/>
        <w:spacing w:line="240" w:lineRule="auto"/>
      </w:pPr>
    </w:p>
    <w:p w:rsidR="005B04FD" w:rsidRDefault="005B04FD">
      <w:pPr>
        <w:pStyle w:val="normal"/>
        <w:spacing w:line="240" w:lineRule="auto"/>
      </w:pPr>
    </w:p>
    <w:p w:rsidR="005B04FD" w:rsidRDefault="005B04FD">
      <w:pPr>
        <w:pStyle w:val="normal"/>
        <w:spacing w:line="240" w:lineRule="auto"/>
      </w:pPr>
    </w:p>
    <w:sectPr w:rsidR="005B04FD" w:rsidSect="005B04FD"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163A"/>
    <w:multiLevelType w:val="multilevel"/>
    <w:tmpl w:val="EDDA49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5B04FD"/>
    <w:rsid w:val="005B04FD"/>
    <w:rsid w:val="00BC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B04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B04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B04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B04F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B04F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5B04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B04FD"/>
  </w:style>
  <w:style w:type="table" w:customStyle="1" w:styleId="TableNormal">
    <w:name w:val="Table Normal"/>
    <w:rsid w:val="005B04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B04F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5B04F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B04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5B04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5B04F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923</Words>
  <Characters>5265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</cp:revision>
  <dcterms:created xsi:type="dcterms:W3CDTF">2016-04-18T11:12:00Z</dcterms:created>
  <dcterms:modified xsi:type="dcterms:W3CDTF">2016-04-18T11:15:00Z</dcterms:modified>
</cp:coreProperties>
</file>